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583E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768C84AD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630A3BB1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bookmarkStart w:id="0" w:name="_gjdgxs"/>
      <w:bookmarkEnd w:id="0"/>
      <w:r w:rsidRPr="0027363D">
        <w:rPr>
          <w:sz w:val="30"/>
          <w:szCs w:val="30"/>
          <w:lang w:eastAsia="ru-RU"/>
        </w:rPr>
        <w:t>МАТЕРИАЛЫ</w:t>
      </w:r>
    </w:p>
    <w:p w14:paraId="1AA0E70B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r w:rsidRPr="0027363D">
        <w:rPr>
          <w:sz w:val="30"/>
          <w:szCs w:val="30"/>
          <w:lang w:eastAsia="ru-RU"/>
        </w:rPr>
        <w:t>для членов информационно-пропагандистских групп</w:t>
      </w:r>
    </w:p>
    <w:p w14:paraId="29CC607F" w14:textId="0AEEB04A" w:rsidR="0027363D" w:rsidRPr="0027363D" w:rsidRDefault="0027363D" w:rsidP="00F928B3">
      <w:pPr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Минской области </w:t>
      </w:r>
      <w:r w:rsidRPr="0027363D">
        <w:rPr>
          <w:sz w:val="30"/>
          <w:szCs w:val="30"/>
          <w:lang w:eastAsia="ru-RU"/>
        </w:rPr>
        <w:t>(август 2024 г.)</w:t>
      </w:r>
    </w:p>
    <w:p w14:paraId="0276BDD6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2688FE95" w14:textId="73EA66CD"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14:paraId="709B5DA3" w14:textId="77777777"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14:paraId="04916F2E" w14:textId="77777777"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r w:rsidRPr="002B73D1">
        <w:rPr>
          <w:color w:val="000000"/>
          <w:spacing w:val="-2"/>
          <w:sz w:val="30"/>
          <w:szCs w:val="30"/>
          <w:lang w:val="ru-RU"/>
        </w:rPr>
        <w:t>Деятельность Минского облисполкома, райгорисполкомов,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</w:p>
    <w:p w14:paraId="5A62E305" w14:textId="77777777"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граждан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14:paraId="1EAC1035" w14:textId="77777777"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райгорисполкомов,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49F68F7B" w14:textId="77777777"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«Дырэктыва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в Директиве Президента», «Труд без опасности», «Безопасность – норма жизни», «Охрана труда», «Территория опасности», «Школа бяспекі»,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>на постоянной основе выходили материалы по формированию правопослушного поведения, здорового образа жизни,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14:paraId="12EB2D70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lastRenderedPageBreak/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(Звенчатка)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14:paraId="633AEDAA" w14:textId="77777777"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14:paraId="66BC73A3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г.),  «Пьяному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г.);</w:t>
      </w:r>
    </w:p>
    <w:p w14:paraId="66AD2F18" w14:textId="77777777"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14:paraId="1CF4A7BA" w14:textId="77777777"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14:paraId="70D355A5" w14:textId="77777777"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14:paraId="18176BEF" w14:textId="77777777"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183753">
        <w:rPr>
          <w:i/>
          <w:color w:val="000000"/>
          <w:spacing w:val="-6"/>
          <w:sz w:val="30"/>
          <w:szCs w:val="30"/>
        </w:rPr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«Алкотест»,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lastRenderedPageBreak/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 учреждениях </w:t>
      </w:r>
      <w:r w:rsidRPr="00630892">
        <w:rPr>
          <w:i/>
          <w:color w:val="000000"/>
          <w:spacing w:val="-6"/>
          <w:sz w:val="30"/>
          <w:szCs w:val="30"/>
        </w:rPr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«Миноблавтотранс»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</w:p>
    <w:p w14:paraId="3873157E" w14:textId="77777777"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Борисовский, Дзержинский, Клецкий, Логойский, Любанский, Минский, Молодечненский, Несвижский, Пуховичский, Слуцкий, Солигорский, Узденский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и Червенский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 алкогольного опьянения</w:t>
      </w:r>
      <w:r w:rsidR="001D0EA9">
        <w:rPr>
          <w:color w:val="000000"/>
          <w:sz w:val="30"/>
          <w:szCs w:val="30"/>
        </w:rPr>
        <w:t>.</w:t>
      </w:r>
    </w:p>
    <w:p w14:paraId="320C43BD" w14:textId="77777777"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>Чаще других задерживались работники организаций Солигорского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</w:p>
    <w:p w14:paraId="1B8F6FA5" w14:textId="77777777"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14:paraId="68BAD971" w14:textId="77777777"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>по профилактике производственного травматизма и профессиональной заболеваемости при райгорисполкомах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334AF59" w14:textId="77777777"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</w:p>
    <w:p w14:paraId="7737C75D" w14:textId="77777777"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</w:p>
    <w:p w14:paraId="31E8396A" w14:textId="77777777"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Червенском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</w:r>
      <w:r w:rsidR="005E1F40" w:rsidRPr="005E1F40">
        <w:rPr>
          <w:spacing w:val="-6"/>
          <w:sz w:val="30"/>
          <w:szCs w:val="30"/>
          <w:lang w:eastAsia="en-US"/>
        </w:rPr>
        <w:lastRenderedPageBreak/>
        <w:t>в результате ДТП допущены в г. Жодино, Столбцовском и Узденском районах (за 6 месяцев 2023 года такие случаи отсутствовали) (приложение 2).</w:t>
      </w:r>
    </w:p>
    <w:p w14:paraId="34EF7073" w14:textId="77777777"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60B9B68E" w14:textId="77777777"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14:paraId="4F9D4A10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14:paraId="0E808EEF" w14:textId="77777777"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r w:rsidRPr="001948C2">
        <w:rPr>
          <w:i/>
          <w:spacing w:val="-4"/>
          <w:sz w:val="30"/>
          <w:szCs w:val="30"/>
          <w:lang w:eastAsia="en-US"/>
        </w:rPr>
        <w:t>Справочно.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>в Березинском, Вилейском, Любанском и Несвижском районах.</w:t>
      </w:r>
    </w:p>
    <w:p w14:paraId="6D91681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Обеспечено предоставление временного пребывания 1 одинокому гражданину пенсионного возраста в Крупском районе в отделении сестринского ухода Холопеничской горпоселковой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2 размещены в Краснослободскую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в социальные пансионаты (Логойский социальный пансионат «Надежный берег», Несвижский социальный пансионат «Березка» и Николаевщинский социальный пансионат «Неманский»).</w:t>
      </w:r>
    </w:p>
    <w:p w14:paraId="7E52D5B3" w14:textId="77777777"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>В региональном инновационно-образовательном центре безопасности Минской области в г.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В районных центрах безопасности и мини-центрах безопасности проведено 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14:paraId="4ADD3FC5" w14:textId="77777777"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lastRenderedPageBreak/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14:paraId="24E43944" w14:textId="77777777"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Вилейском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r>
        <w:rPr>
          <w:color w:val="000000"/>
          <w:sz w:val="30"/>
          <w:szCs w:val="30"/>
        </w:rPr>
        <w:t>Любанском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Молодечненском</w:t>
      </w:r>
      <w:r w:rsidRPr="006B2D00">
        <w:rPr>
          <w:color w:val="000000"/>
          <w:sz w:val="30"/>
          <w:szCs w:val="30"/>
        </w:rPr>
        <w:t xml:space="preserve">, Слуцком, </w:t>
      </w:r>
      <w:r>
        <w:rPr>
          <w:color w:val="000000"/>
          <w:sz w:val="30"/>
          <w:szCs w:val="30"/>
        </w:rPr>
        <w:t>Узденском</w:t>
      </w:r>
      <w:r w:rsidRPr="006B2D00">
        <w:rPr>
          <w:color w:val="000000"/>
          <w:sz w:val="30"/>
          <w:szCs w:val="30"/>
        </w:rPr>
        <w:t xml:space="preserve"> и Червенском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Вилейском (с 0 до 7), </w:t>
      </w:r>
      <w:r w:rsidR="00000BD4" w:rsidRPr="00000BD4">
        <w:rPr>
          <w:color w:val="000000"/>
          <w:sz w:val="30"/>
          <w:szCs w:val="30"/>
        </w:rPr>
        <w:t xml:space="preserve">Узденском (с 0 до 5), </w:t>
      </w:r>
      <w:r>
        <w:rPr>
          <w:color w:val="000000"/>
          <w:sz w:val="30"/>
          <w:szCs w:val="30"/>
        </w:rPr>
        <w:t>Червенском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Любанском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14:paraId="6275B13B" w14:textId="77777777"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81D01DE" w14:textId="77777777"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>В целях профилактики гибели и травмирования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14:paraId="2DBFBA97" w14:textId="77777777"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r w:rsidRPr="00865C93">
        <w:rPr>
          <w:i/>
          <w:color w:val="000000"/>
          <w:spacing w:val="-2"/>
          <w:sz w:val="30"/>
          <w:szCs w:val="30"/>
        </w:rPr>
        <w:t>Справочно.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14:paraId="7439516D" w14:textId="77777777"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заседаниях 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14:paraId="55F5B935" w14:textId="77777777"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>по профилактике травматизма в организациях, где в течение года зарегистрированы два и более несчастных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14:paraId="795CC6B2" w14:textId="77777777"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r w:rsidRPr="00A947D1">
        <w:rPr>
          <w:i/>
          <w:color w:val="000000"/>
          <w:spacing w:val="-4"/>
          <w:sz w:val="30"/>
          <w:szCs w:val="30"/>
        </w:rPr>
        <w:t xml:space="preserve">Справочно.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«Воложинский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«Мостострой»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14:paraId="5A59741B" w14:textId="77777777"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райгорисполкомах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 xml:space="preserve">и 4 филиалов (дочерних предприятий, структурных </w:t>
      </w:r>
      <w:r w:rsidRPr="00D76BF6">
        <w:rPr>
          <w:sz w:val="30"/>
          <w:szCs w:val="30"/>
          <w:lang w:eastAsia="en-US"/>
        </w:rPr>
        <w:lastRenderedPageBreak/>
        <w:t>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14:paraId="34C81C15" w14:textId="77777777"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14:paraId="7BEA1729" w14:textId="77777777"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14:paraId="5E876F50" w14:textId="77777777"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райгорисполкомов,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14:paraId="29D7CDDE" w14:textId="77777777"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1D1F4E">
        <w:rPr>
          <w:i/>
          <w:sz w:val="30"/>
          <w:szCs w:val="30"/>
          <w:lang w:eastAsia="en-US"/>
        </w:rPr>
        <w:t xml:space="preserve">Справочно.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 xml:space="preserve">по профилактике травматизма на базе ООО «АмантисМед»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и Мядельском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14:paraId="5701808F" w14:textId="77777777"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«Борисовжилстрой»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14:paraId="7A043479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Воложина 1-й и 2-й степени», «Реконструкция Иешивы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Воложине»,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14:paraId="0E5DFB13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и по профилактике алкоголизма, наркомании, суицидов рассмотрена </w:t>
      </w:r>
      <w:r w:rsidRPr="00B7495F">
        <w:rPr>
          <w:color w:val="000000"/>
          <w:sz w:val="30"/>
          <w:szCs w:val="30"/>
        </w:rPr>
        <w:lastRenderedPageBreak/>
        <w:t>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4675B7C8" w14:textId="77777777"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14:paraId="2D18501F" w14:textId="77777777"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14:paraId="0F81A2C4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Справочно</w:t>
      </w:r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  <w:t>в КУП «Минскоблдорстрой» и филиалах имеется в наличии 110 приборов «Алкотест», в УП «Минскоблсельстрой»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14:paraId="7B4DEE2D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«Алкотест».</w:t>
      </w:r>
    </w:p>
    <w:p w14:paraId="47121D74" w14:textId="77777777"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Постоянно действующими рейдовыми группами райигорисполкомов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1D00CEDF" w14:textId="77777777"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>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67701E83" w14:textId="77777777"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r w:rsidRPr="00764894">
        <w:rPr>
          <w:i/>
          <w:color w:val="000000"/>
          <w:spacing w:val="-6"/>
          <w:sz w:val="30"/>
          <w:szCs w:val="30"/>
        </w:rPr>
        <w:t>Справочно. 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 xml:space="preserve">УП «Минскоблсельстрой» </w:t>
      </w:r>
      <w:r w:rsidR="00764894">
        <w:rPr>
          <w:i/>
          <w:color w:val="000000"/>
          <w:spacing w:val="-6"/>
          <w:sz w:val="30"/>
          <w:szCs w:val="30"/>
        </w:rPr>
        <w:t xml:space="preserve"> Любанского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заместитель главного инженера по ремонту и сервисному обслуживанию ОАО «Воложинская райагропромтехника»,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«Воложинский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 xml:space="preserve">в виде </w:t>
      </w:r>
      <w:r w:rsidRPr="006B0C47">
        <w:rPr>
          <w:i/>
          <w:color w:val="000000"/>
          <w:spacing w:val="-4"/>
          <w:sz w:val="30"/>
          <w:szCs w:val="30"/>
        </w:rPr>
        <w:lastRenderedPageBreak/>
        <w:t>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«Игнатичи»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Смолевичского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«Витко-Агро»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ОАО «Кухчицы»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14:paraId="2D052953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>За необеспечение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>заведующий МТФ «Рованичи» ОАО «Рованичи» Червенского района</w:t>
      </w:r>
      <w:r>
        <w:rPr>
          <w:spacing w:val="-4"/>
          <w:sz w:val="30"/>
          <w:szCs w:val="30"/>
          <w:lang w:eastAsia="ru-RU"/>
        </w:rPr>
        <w:t>.</w:t>
      </w:r>
    </w:p>
    <w:p w14:paraId="3A0F2507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>За необеспечение контроля за соблюдением работниками трудовой дисциплины исполняющий обязанности бригадира производственной бригады в животноводстве фермы «Савони» ОАО «Жатерево» Столбцовского района лишен полностью дополнительных выплат стимулирующего характера на 3 месяца.</w:t>
      </w:r>
    </w:p>
    <w:p w14:paraId="720C4925" w14:textId="77777777"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 месяцев.</w:t>
      </w:r>
    </w:p>
    <w:p w14:paraId="5C5EF4D8" w14:textId="77777777"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r w:rsidR="00286AB8" w:rsidRPr="00FE36C5">
        <w:rPr>
          <w:spacing w:val="-6"/>
          <w:sz w:val="30"/>
          <w:szCs w:val="30"/>
          <w:lang w:eastAsia="en-US"/>
        </w:rPr>
        <w:t xml:space="preserve">г.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14:paraId="41E3EB98" w14:textId="77777777"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14:paraId="5FD1F9FD" w14:textId="77777777"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14:paraId="15703B99" w14:textId="77777777"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lastRenderedPageBreak/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групп включены представители райгорисполкомов,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14:paraId="0DAB2A83" w14:textId="77777777"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14:paraId="7A8A9377" w14:textId="77777777"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14:paraId="3BA7DB9F" w14:textId="77777777"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r w:rsidRPr="004F27DF">
        <w:rPr>
          <w:i/>
          <w:sz w:val="30"/>
          <w:szCs w:val="30"/>
        </w:rPr>
        <w:t>Справочно.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14:paraId="0F45ECA6" w14:textId="77777777"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bookmarkStart w:id="1" w:name="_GoBack"/>
      <w:bookmarkEnd w:id="1"/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14:paraId="089460A5" w14:textId="77777777"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>и С</w:t>
      </w:r>
      <w:r w:rsidRPr="004F27DF">
        <w:rPr>
          <w:sz w:val="30"/>
          <w:szCs w:val="30"/>
        </w:rPr>
        <w:t>молевичского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утоплений допущены в </w:t>
      </w:r>
      <w:r w:rsidR="00A63430">
        <w:rPr>
          <w:sz w:val="30"/>
          <w:szCs w:val="30"/>
        </w:rPr>
        <w:t>Крупском и Несвижском</w:t>
      </w:r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14:paraId="3F4C403B" w14:textId="77777777"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более 320 лекций, в ходе которых профилактическими 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14:paraId="6B48EA4D" w14:textId="77777777"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lastRenderedPageBreak/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Жодинской городской и центральных районных больниц.</w:t>
      </w:r>
    </w:p>
    <w:p w14:paraId="67518820" w14:textId="77777777"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</w:t>
      </w:r>
      <w:r w:rsidR="00507978">
        <w:rPr>
          <w:sz w:val="30"/>
          <w:szCs w:val="30"/>
          <w:lang w:eastAsia="en-US"/>
        </w:rPr>
        <w:t>«</w:t>
      </w:r>
      <w:r w:rsidRPr="006A14B4">
        <w:rPr>
          <w:sz w:val="30"/>
          <w:szCs w:val="30"/>
          <w:lang w:eastAsia="en-US"/>
        </w:rPr>
        <w:t>социальных медиа</w:t>
      </w:r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sectPr w:rsidR="00316E11" w:rsidSect="0027363D">
      <w:headerReference w:type="even" r:id="rId6"/>
      <w:headerReference w:type="default" r:id="rId7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F2765" w14:textId="77777777" w:rsidR="003943F8" w:rsidRDefault="003943F8" w:rsidP="00CE5780">
      <w:r>
        <w:separator/>
      </w:r>
    </w:p>
  </w:endnote>
  <w:endnote w:type="continuationSeparator" w:id="0">
    <w:p w14:paraId="65929812" w14:textId="77777777" w:rsidR="003943F8" w:rsidRDefault="003943F8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B188" w14:textId="77777777" w:rsidR="003943F8" w:rsidRDefault="003943F8" w:rsidP="00CE5780">
      <w:r>
        <w:separator/>
      </w:r>
    </w:p>
  </w:footnote>
  <w:footnote w:type="continuationSeparator" w:id="0">
    <w:p w14:paraId="7B34399D" w14:textId="77777777" w:rsidR="003943F8" w:rsidRDefault="003943F8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0C3F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ED2CF09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2FF7" w14:textId="783ED9AF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29061D">
      <w:rPr>
        <w:noProof/>
        <w:sz w:val="28"/>
        <w:szCs w:val="28"/>
      </w:rPr>
      <w:t>9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5120"/>
    <w:rsid w:val="000A0588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BD7"/>
    <w:rsid w:val="001D02DB"/>
    <w:rsid w:val="001D0EA9"/>
    <w:rsid w:val="001D1F4E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061D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43F8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F19"/>
    <w:rsid w:val="008E2885"/>
    <w:rsid w:val="008E61E2"/>
    <w:rsid w:val="008F04CC"/>
    <w:rsid w:val="008F42BE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D52DE"/>
    <w:rsid w:val="009D6204"/>
    <w:rsid w:val="009D73F6"/>
    <w:rsid w:val="009E2C03"/>
    <w:rsid w:val="009E5B00"/>
    <w:rsid w:val="009E5DFD"/>
    <w:rsid w:val="009E771D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64628"/>
  <w15:docId w15:val="{4D66285F-A4E8-4677-943C-DFA54E4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Заголовок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Пользователь</cp:lastModifiedBy>
  <cp:revision>8</cp:revision>
  <cp:lastPrinted>2024-08-09T08:39:00Z</cp:lastPrinted>
  <dcterms:created xsi:type="dcterms:W3CDTF">2024-08-05T14:10:00Z</dcterms:created>
  <dcterms:modified xsi:type="dcterms:W3CDTF">2024-08-19T06:03:00Z</dcterms:modified>
</cp:coreProperties>
</file>